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M.PETRAUSKO MUZIKOS MOKYKLA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V.Kr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ėvės pr. 54, 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50401 Kaunas, Lietuva. Tel.: (8~37) 31  56 73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El.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štas mpmm@mpetrausko.kaunas.lm.lt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ŠKINAMASIS RAŠTAS PRIE FINANSINIŲ ATASKAITŲ RINKINIO PAGAL 2017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31 D. DUOMENIS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2017 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rugpj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ūč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Kaunas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BENDROJI DALIS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360"/>
        <w:ind w:right="0" w:left="705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Duomenys apie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šį finansinių ataskaitų rinkinį parengusį viešojo sektoriaus subjektą.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M. Petrausko muzikos mokykla yra juridinis asmuo, nesiekenti  pelno Kauno miesto savivaldyb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ės biudžetinė įstaiga:</w:t>
      </w:r>
    </w:p>
    <w:p>
      <w:pPr>
        <w:spacing w:before="0" w:after="0" w:line="360"/>
        <w:ind w:right="0" w:left="144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190144791</w:t>
      </w:r>
    </w:p>
    <w:p>
      <w:pPr>
        <w:spacing w:before="0" w:after="0" w:line="360"/>
        <w:ind w:right="0" w:left="144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V.Kr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ėvės pr. 54, Kaunas LT-50401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M.Petrausko muzikos mokyklos steig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ėjas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Kauno miesto savivaldyb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ė, kodas 111106319, adresas-Laisvės al. 96, LT-44251.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Pagrindin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 M.Petrausko muzikos mokyklos veikla yra Kultūrinis švietimas, kodas 8552 (pagal Ekonominės veiklos rūšių klasifikatorių, patvirtintą Statistikos departamento prie LR Vyriausybės generalinio direktoriaus 2007 m. spalio 31 d. įsakymu Nr. DĮ-226). 2017 biželio  31 dieną mokykloje buvo ugdomi apie 364 mokiniai.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Įstaiga savo veiklą grindžia LR Konstitucija, Vaiko teisių konvencija, LR švietimo ir kitais įstatymais, LR Vyriausybės nutarimais, LR švietimo ir mokslo ministerijos teisės aktais ir  M.Petrausko muzikos mokyklos nuostatais.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M.Petrausko muzikos mokyklos buhalterin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apskaitą tvarko BĮ "Kauno biudžetinių įstaigų apskaita".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2.    Finansiniai metai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Įstaigos finansiniai metai parsideda sausio 1 d. ir baigiasi gruodžio 31 d.</w:t>
      </w:r>
    </w:p>
    <w:p>
      <w:pPr>
        <w:numPr>
          <w:ilvl w:val="0"/>
          <w:numId w:val="11"/>
        </w:numPr>
        <w:spacing w:before="0" w:after="0" w:line="360"/>
        <w:ind w:right="0" w:left="705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Infrormacija apie kontroliuojamus, asocijuotus ir kitus subjektus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Įstaiga kontroliuojamų ir asocijuotųjų subjektų neturi.</w:t>
      </w:r>
    </w:p>
    <w:p>
      <w:pPr>
        <w:numPr>
          <w:ilvl w:val="0"/>
          <w:numId w:val="13"/>
        </w:numPr>
        <w:spacing w:before="0" w:after="0" w:line="360"/>
        <w:ind w:right="0" w:left="705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Informacija apie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įstaigos filialus ar struktūrinius vienetus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Įstaiga filial ar kitų struktūrinių padalinių neturi.</w:t>
      </w:r>
    </w:p>
    <w:p>
      <w:pPr>
        <w:numPr>
          <w:ilvl w:val="0"/>
          <w:numId w:val="15"/>
        </w:numPr>
        <w:spacing w:before="0" w:after="0" w:line="360"/>
        <w:ind w:right="0" w:left="705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Informacija apie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įstaigos vidutinį darbuotojų skaičių per ataskaitinį laikotarpį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Įstaigoje per 2017 metų II ketv. Vidutiniškai dirbo 60 darbuotojai. Iš jų 45 pedagoginiai darbuotojai, 13 kitas personalas.</w:t>
      </w:r>
    </w:p>
    <w:p>
      <w:pPr>
        <w:numPr>
          <w:ilvl w:val="0"/>
          <w:numId w:val="17"/>
        </w:numPr>
        <w:spacing w:before="0" w:after="0" w:line="360"/>
        <w:ind w:right="0" w:left="705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Svarbios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ąlygos, kuriomis veikia įstaiga ir kurios gali paveikti tolesnę įstaigos veiklą.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Svarbi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ų sąlygų, kurios gali paveikti įstaigos tolimesnę veiklą nėra.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36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PASTABOS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Pateikiamos metin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ės finansinės ataskaitos:</w:t>
      </w:r>
    </w:p>
    <w:p>
      <w:pPr>
        <w:numPr>
          <w:ilvl w:val="0"/>
          <w:numId w:val="21"/>
        </w:numPr>
        <w:spacing w:before="0" w:after="0" w:line="360"/>
        <w:ind w:right="0" w:left="64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2-ojo VSAFAS “Finansin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ės būklės ataskaita” 2 priedas. Joje pateikiama 2017 metų birželio 30 dienos informacija;</w:t>
      </w:r>
    </w:p>
    <w:p>
      <w:pPr>
        <w:numPr>
          <w:ilvl w:val="0"/>
          <w:numId w:val="21"/>
        </w:numPr>
        <w:spacing w:before="0" w:after="0" w:line="360"/>
        <w:ind w:right="0" w:left="64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3-ojo VSAFAS “Veiklos rezultat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ų ataskaita” 2 priedas. Joje opateikiama nuo 2017 metų sausio 1 d. iki birželio 30 dienos laikotarpio informacija;</w:t>
      </w:r>
    </w:p>
    <w:p>
      <w:pPr>
        <w:numPr>
          <w:ilvl w:val="0"/>
          <w:numId w:val="21"/>
        </w:numPr>
        <w:spacing w:before="0" w:after="0" w:line="360"/>
        <w:ind w:right="0" w:left="64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4-ojo VSAFAS “Grynojo turto poky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čių ataskaita” 1 priedas. Joje pateikiama 2017 metų birželio 30 dienos informacija.</w:t>
      </w:r>
    </w:p>
    <w:p>
      <w:pPr>
        <w:numPr>
          <w:ilvl w:val="0"/>
          <w:numId w:val="21"/>
        </w:numPr>
        <w:spacing w:before="0" w:after="0" w:line="360"/>
        <w:ind w:right="0" w:left="64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20-ojo VSAFAS “Finansavimo sum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ų pagal šaltinį, tikslinę paskirtį ir jų pokyčiai” 4 predas. Joje opateikiama nuo 2017 metų sausio 1 d. iki birželio 30 dienos laikotarpio informacija.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36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REIK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ŠMINGŲ SUMŲ PAAIŠKINIMAI</w:t>
      </w:r>
    </w:p>
    <w:p>
      <w:pPr>
        <w:spacing w:before="0" w:after="0" w:line="36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360"/>
        <w:ind w:right="0" w:left="5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Finansin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ės būklės ataskaitos A dalyje “Ilgalaikis turtas” IMT  pateikiama likutine verte. Atiduoto naudoti įstaigos veikloje ūkinio inventoriaus vertė iš karto pripažįstama sąnaudomis. Veikloje naudojamas inventoriaus kontrolės tikslais apskaitomas užbalansinėje sąskaitoje.</w:t>
      </w:r>
    </w:p>
    <w:p>
      <w:pPr>
        <w:numPr>
          <w:ilvl w:val="0"/>
          <w:numId w:val="25"/>
        </w:numPr>
        <w:spacing w:before="0" w:after="0" w:line="360"/>
        <w:ind w:right="0" w:left="5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Pastabos:</w:t>
      </w:r>
    </w:p>
    <w:tbl>
      <w:tblPr>
        <w:tblInd w:w="573" w:type="dxa"/>
      </w:tblPr>
      <w:tblGrid>
        <w:gridCol w:w="911"/>
        <w:gridCol w:w="990"/>
        <w:gridCol w:w="1081"/>
        <w:gridCol w:w="2220"/>
        <w:gridCol w:w="735"/>
        <w:gridCol w:w="596"/>
        <w:gridCol w:w="848"/>
        <w:gridCol w:w="2170"/>
        <w:gridCol w:w="237"/>
        <w:gridCol w:w="2024"/>
      </w:tblGrid>
      <w:tr>
        <w:trPr>
          <w:trHeight w:val="1" w:hRule="atLeast"/>
          <w:jc w:val="left"/>
        </w:trPr>
        <w:tc>
          <w:tcPr>
            <w:tcW w:w="19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Pastabos Nr.</w:t>
            </w:r>
          </w:p>
        </w:tc>
        <w:tc>
          <w:tcPr>
            <w:tcW w:w="403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Ataskaitos straipsnio pavadinimas</w:t>
            </w:r>
          </w:p>
        </w:tc>
        <w:tc>
          <w:tcPr>
            <w:tcW w:w="14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Suma (EUR)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Ataskaitos straipsn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į sudarančių sąskaitų pavadinimai</w:t>
            </w:r>
          </w:p>
        </w:tc>
        <w:tc>
          <w:tcPr>
            <w:tcW w:w="2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Suma (EUR)</w:t>
            </w:r>
          </w:p>
        </w:tc>
      </w:tr>
      <w:tr>
        <w:trPr>
          <w:trHeight w:val="1" w:hRule="atLeast"/>
          <w:jc w:val="left"/>
        </w:trPr>
        <w:tc>
          <w:tcPr>
            <w:tcW w:w="19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03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181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FINANSIN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ĖS BŪKLĖS ATASKAITA 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(2-ojo VSAFAS 2 priedas)</w:t>
            </w:r>
          </w:p>
        </w:tc>
      </w:tr>
      <w:tr>
        <w:trPr>
          <w:trHeight w:val="1" w:hRule="atLeast"/>
          <w:jc w:val="left"/>
        </w:trPr>
        <w:tc>
          <w:tcPr>
            <w:tcW w:w="29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A.II 9 Kitas ilgalaikis materialus turtas</w:t>
            </w:r>
          </w:p>
        </w:tc>
        <w:tc>
          <w:tcPr>
            <w:tcW w:w="14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13 308,26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1209 “Kitas ilgalaikis turtas”</w:t>
            </w:r>
          </w:p>
        </w:tc>
        <w:tc>
          <w:tcPr>
            <w:tcW w:w="2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13 308,26</w:t>
            </w:r>
          </w:p>
        </w:tc>
      </w:tr>
      <w:tr>
        <w:trPr>
          <w:trHeight w:val="1" w:hRule="atLeast"/>
          <w:jc w:val="left"/>
        </w:trPr>
        <w:tc>
          <w:tcPr>
            <w:tcW w:w="29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C.III.3 Sukauptos gautinos sumos</w:t>
            </w:r>
          </w:p>
        </w:tc>
        <w:tc>
          <w:tcPr>
            <w:tcW w:w="14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69 512,08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228 “Sukauptos gautinos finansavimo sumos”</w:t>
            </w:r>
          </w:p>
        </w:tc>
        <w:tc>
          <w:tcPr>
            <w:tcW w:w="2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99 234,86</w:t>
            </w:r>
          </w:p>
        </w:tc>
      </w:tr>
      <w:tr>
        <w:trPr>
          <w:trHeight w:val="1" w:hRule="atLeast"/>
          <w:jc w:val="left"/>
        </w:trPr>
        <w:tc>
          <w:tcPr>
            <w:tcW w:w="29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C.V Pinigai ir pinig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ų ekvivalentai</w:t>
            </w:r>
          </w:p>
        </w:tc>
        <w:tc>
          <w:tcPr>
            <w:tcW w:w="14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19 861,78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241 Pavedim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ų įplaukos litais banko sąskaitoje </w:t>
            </w:r>
          </w:p>
        </w:tc>
        <w:tc>
          <w:tcPr>
            <w:tcW w:w="2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2662,79</w:t>
            </w:r>
          </w:p>
        </w:tc>
      </w:tr>
      <w:tr>
        <w:trPr>
          <w:trHeight w:val="1" w:hRule="atLeast"/>
          <w:jc w:val="left"/>
        </w:trPr>
        <w:tc>
          <w:tcPr>
            <w:tcW w:w="29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E.II.9 Tiek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ėjams mokėtinos sumos</w:t>
            </w:r>
          </w:p>
        </w:tc>
        <w:tc>
          <w:tcPr>
            <w:tcW w:w="14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3 459,23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691 “Tiek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ėjams mokėtinos sumos</w:t>
            </w:r>
          </w:p>
        </w:tc>
        <w:tc>
          <w:tcPr>
            <w:tcW w:w="2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3 459,23</w:t>
            </w:r>
          </w:p>
        </w:tc>
      </w:tr>
      <w:tr>
        <w:trPr>
          <w:trHeight w:val="1" w:hRule="atLeast"/>
          <w:jc w:val="left"/>
        </w:trPr>
        <w:tc>
          <w:tcPr>
            <w:tcW w:w="1181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VEIKLOS REZULTAT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Ų ATASKAITA (3-joj VSAFAS 2 priedas)</w:t>
            </w:r>
          </w:p>
        </w:tc>
      </w:tr>
      <w:tr>
        <w:trPr>
          <w:trHeight w:val="1267" w:hRule="auto"/>
          <w:jc w:val="left"/>
        </w:trPr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2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A.I.2 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 savivaldybių biudžeto</w:t>
            </w:r>
          </w:p>
        </w:tc>
        <w:tc>
          <w:tcPr>
            <w:tcW w:w="13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391 319,55</w:t>
            </w:r>
          </w:p>
        </w:tc>
        <w:tc>
          <w:tcPr>
            <w:tcW w:w="32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7025 “Panaudot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ų finansavimo sumų iš savivaldybės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biud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žeto kitoms išlaidoms pajamos”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391 319,55</w:t>
            </w:r>
          </w:p>
        </w:tc>
      </w:tr>
      <w:tr>
        <w:trPr>
          <w:trHeight w:val="1" w:hRule="atLeast"/>
          <w:jc w:val="left"/>
        </w:trPr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2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B.I Darbo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žmokesčio ir socialinio draudimo</w:t>
            </w:r>
          </w:p>
        </w:tc>
        <w:tc>
          <w:tcPr>
            <w:tcW w:w="13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061,74</w:t>
            </w:r>
          </w:p>
        </w:tc>
        <w:tc>
          <w:tcPr>
            <w:tcW w:w="32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8701 “S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ąnaudos darbo užmokesčiui”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394 061,74</w:t>
            </w:r>
          </w:p>
        </w:tc>
      </w:tr>
      <w:tr>
        <w:trPr>
          <w:trHeight w:val="1" w:hRule="atLeast"/>
          <w:jc w:val="left"/>
        </w:trPr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2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B.VI Kvalifikacijos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ėlimo</w:t>
            </w:r>
          </w:p>
        </w:tc>
        <w:tc>
          <w:tcPr>
            <w:tcW w:w="13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261,00</w:t>
            </w:r>
          </w:p>
        </w:tc>
        <w:tc>
          <w:tcPr>
            <w:tcW w:w="32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8707001 “Kvalifikacijos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ėlimo sąnaudos”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261,00</w:t>
            </w:r>
          </w:p>
        </w:tc>
      </w:tr>
      <w:tr>
        <w:trPr>
          <w:trHeight w:val="1" w:hRule="atLeast"/>
          <w:jc w:val="left"/>
        </w:trPr>
        <w:tc>
          <w:tcPr>
            <w:tcW w:w="1181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58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58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IV.KITA INFORMACIJA</w:t>
      </w:r>
    </w:p>
    <w:p>
      <w:pPr>
        <w:spacing w:before="0" w:after="0" w:line="360"/>
        <w:ind w:right="0" w:left="5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8"/>
        </w:numPr>
        <w:spacing w:before="0" w:after="0" w:line="360"/>
        <w:ind w:right="0" w:left="9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M.Petrausko muzikos mokyklos veiklos nutaraukimas nenumatomas.</w:t>
      </w:r>
    </w:p>
    <w:p>
      <w:pPr>
        <w:numPr>
          <w:ilvl w:val="0"/>
          <w:numId w:val="88"/>
        </w:numPr>
        <w:spacing w:before="0" w:after="0" w:line="360"/>
        <w:ind w:right="0" w:left="9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Neapibr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ėžtųjų įsipareigojimų ar neapibrėžtojo turto pokyčių nuo ataskaitinių finansinių metų pradžios iki paskutinės tarpinio ataskaitinio laikotarpio dienos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ėra. </w:t>
      </w:r>
    </w:p>
    <w:p>
      <w:pPr>
        <w:numPr>
          <w:ilvl w:val="0"/>
          <w:numId w:val="88"/>
        </w:numPr>
        <w:spacing w:before="0" w:after="0" w:line="360"/>
        <w:ind w:right="0" w:left="9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Spendimai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ėl teisinių ginčų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ėra.</w:t>
      </w:r>
    </w:p>
    <w:p>
      <w:pPr>
        <w:numPr>
          <w:ilvl w:val="0"/>
          <w:numId w:val="88"/>
        </w:numPr>
        <w:spacing w:before="0" w:after="0" w:line="360"/>
        <w:ind w:right="0" w:left="90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šmingi įvykiai po paskutinės tarpinio ataskaitinio laikotarpio dienos-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nebuvo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Direktorius</w:t>
        <w:tab/>
        <w:tab/>
        <w:tab/>
        <w:t xml:space="preserve">                            Ojaras Gricijonas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Specialst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</w:t>
        <w:tab/>
        <w:tab/>
        <w:tab/>
        <w:tab/>
        <w:t xml:space="preserve">               Rita Stankevičienė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5">
    <w:abstractNumId w:val="60"/>
  </w:num>
  <w:num w:numId="7">
    <w:abstractNumId w:val="54"/>
  </w:num>
  <w:num w:numId="11">
    <w:abstractNumId w:val="48"/>
  </w:num>
  <w:num w:numId="13">
    <w:abstractNumId w:val="42"/>
  </w:num>
  <w:num w:numId="15">
    <w:abstractNumId w:val="36"/>
  </w:num>
  <w:num w:numId="17">
    <w:abstractNumId w:val="30"/>
  </w:num>
  <w:num w:numId="19">
    <w:abstractNumId w:val="24"/>
  </w:num>
  <w:num w:numId="21">
    <w:abstractNumId w:val="18"/>
  </w:num>
  <w:num w:numId="23">
    <w:abstractNumId w:val="12"/>
  </w:num>
  <w:num w:numId="25">
    <w:abstractNumId w:val="6"/>
  </w:num>
  <w:num w:numId="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